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54EA0" w14:textId="1670B275" w:rsidR="00A15296" w:rsidRPr="006549ED" w:rsidRDefault="00F84DDC" w:rsidP="005A41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222222"/>
          <w:lang w:val="ru-RU" w:eastAsia="en-GB"/>
        </w:rPr>
      </w:pPr>
      <w:r w:rsidRPr="00F84DDC">
        <w:rPr>
          <w:rFonts w:ascii="Calibri" w:eastAsia="Times New Roman" w:hAnsi="Calibri" w:cs="Times New Roman"/>
          <w:b/>
          <w:color w:val="222222"/>
          <w:lang w:val="ru-RU" w:eastAsia="en-GB"/>
        </w:rPr>
        <w:t xml:space="preserve">Статья российских физиков вышла в журнале группы </w:t>
      </w:r>
      <w:r w:rsidRPr="00F84DDC">
        <w:rPr>
          <w:rFonts w:ascii="Calibri" w:eastAsia="Times New Roman" w:hAnsi="Calibri" w:cs="Times New Roman"/>
          <w:b/>
          <w:color w:val="222222"/>
          <w:lang w:val="en-US" w:eastAsia="en-GB"/>
        </w:rPr>
        <w:t>Nature</w:t>
      </w:r>
    </w:p>
    <w:p w14:paraId="2AF653C7" w14:textId="77777777" w:rsidR="00A15296" w:rsidRDefault="00A15296" w:rsidP="005A41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val="ru-RU" w:eastAsia="en-GB"/>
        </w:rPr>
      </w:pPr>
    </w:p>
    <w:p w14:paraId="48311674" w14:textId="2910BCB5" w:rsidR="005A4171" w:rsidRPr="006549ED" w:rsidRDefault="005A4171" w:rsidP="005A41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val="ru-RU" w:eastAsia="en-GB"/>
        </w:rPr>
      </w:pPr>
      <w:r w:rsidRPr="005A4171">
        <w:rPr>
          <w:rFonts w:ascii="Calibri" w:eastAsia="Times New Roman" w:hAnsi="Calibri" w:cs="Times New Roman"/>
          <w:color w:val="222222"/>
          <w:lang w:val="ru-RU" w:eastAsia="en-GB"/>
        </w:rPr>
        <w:t>3 февраля в престижном журнале </w:t>
      </w:r>
      <w:r w:rsidRPr="005A4171">
        <w:rPr>
          <w:rFonts w:ascii="Calibri" w:eastAsia="Times New Roman" w:hAnsi="Calibri" w:cs="Times New Roman"/>
          <w:color w:val="222222"/>
          <w:lang w:eastAsia="en-GB"/>
        </w:rPr>
        <w:t>Nature</w:t>
      </w:r>
      <w:r w:rsidRPr="006549ED">
        <w:rPr>
          <w:rFonts w:ascii="Calibri" w:eastAsia="Times New Roman" w:hAnsi="Calibri" w:cs="Times New Roman"/>
          <w:color w:val="222222"/>
          <w:lang w:val="ru-RU" w:eastAsia="en-GB"/>
        </w:rPr>
        <w:t xml:space="preserve"> </w:t>
      </w:r>
      <w:r w:rsidRPr="005A4171">
        <w:rPr>
          <w:rFonts w:ascii="Calibri" w:eastAsia="Times New Roman" w:hAnsi="Calibri" w:cs="Times New Roman"/>
          <w:color w:val="222222"/>
          <w:lang w:eastAsia="en-GB"/>
        </w:rPr>
        <w:t>Communications</w:t>
      </w:r>
      <w:r w:rsidR="002D71A4">
        <w:rPr>
          <w:rFonts w:ascii="Calibri" w:eastAsia="Times New Roman" w:hAnsi="Calibri" w:cs="Times New Roman"/>
          <w:color w:val="222222"/>
          <w:lang w:val="ru-RU" w:eastAsia="en-GB"/>
        </w:rPr>
        <w:t> </w:t>
      </w:r>
      <w:r w:rsidR="00A15296">
        <w:rPr>
          <w:rFonts w:ascii="Calibri" w:eastAsia="Times New Roman" w:hAnsi="Calibri" w:cs="Times New Roman"/>
          <w:color w:val="222222"/>
          <w:lang w:val="ru-RU" w:eastAsia="en-GB"/>
        </w:rPr>
        <w:t xml:space="preserve">была </w:t>
      </w:r>
      <w:r w:rsidR="002D71A4">
        <w:rPr>
          <w:rFonts w:ascii="Calibri" w:eastAsia="Times New Roman" w:hAnsi="Calibri" w:cs="Times New Roman"/>
          <w:color w:val="222222"/>
          <w:lang w:val="ru-RU" w:eastAsia="en-GB"/>
        </w:rPr>
        <w:t>опубликована статья российских</w:t>
      </w:r>
      <w:r w:rsidRPr="005A4171">
        <w:rPr>
          <w:rFonts w:ascii="Calibri" w:eastAsia="Times New Roman" w:hAnsi="Calibri" w:cs="Times New Roman"/>
          <w:color w:val="222222"/>
          <w:lang w:val="ru-RU" w:eastAsia="en-GB"/>
        </w:rPr>
        <w:t xml:space="preserve"> физиков, которые развили новые статистические подходы по описанию сис</w:t>
      </w:r>
      <w:r w:rsidR="008C5250">
        <w:rPr>
          <w:rFonts w:ascii="Calibri" w:eastAsia="Times New Roman" w:hAnsi="Calibri" w:cs="Times New Roman"/>
          <w:color w:val="222222"/>
          <w:lang w:val="ru-RU" w:eastAsia="en-GB"/>
        </w:rPr>
        <w:t>тем со многими степенями свобод</w:t>
      </w:r>
      <w:r w:rsidRPr="005A4171">
        <w:rPr>
          <w:rFonts w:ascii="Calibri" w:eastAsia="Times New Roman" w:hAnsi="Calibri" w:cs="Times New Roman"/>
          <w:color w:val="222222"/>
          <w:lang w:val="ru-RU" w:eastAsia="en-GB"/>
        </w:rPr>
        <w:t xml:space="preserve">ы и с помощью них впервые описали спектр излучения лазеров нового типа </w:t>
      </w:r>
      <w:r w:rsidR="00F84DDC">
        <w:rPr>
          <w:rFonts w:ascii="Calibri" w:eastAsia="Times New Roman" w:hAnsi="Calibri" w:cs="Times New Roman"/>
          <w:color w:val="222222"/>
          <w:lang w:val="ru-RU" w:eastAsia="en-GB"/>
        </w:rPr>
        <w:t>– случайных волоконных лазеров. Т</w:t>
      </w:r>
      <w:r w:rsidRPr="005A4171">
        <w:rPr>
          <w:rFonts w:ascii="Calibri" w:eastAsia="Times New Roman" w:hAnsi="Calibri" w:cs="Times New Roman"/>
          <w:color w:val="222222"/>
          <w:lang w:val="ru-RU" w:eastAsia="en-GB"/>
        </w:rPr>
        <w:t>екст статьи доступен по ссылке</w:t>
      </w:r>
      <w:r w:rsidR="002D71A4">
        <w:rPr>
          <w:rFonts w:ascii="Calibri" w:eastAsia="Times New Roman" w:hAnsi="Calibri" w:cs="Times New Roman"/>
          <w:color w:val="222222"/>
          <w:lang w:val="ru-RU" w:eastAsia="en-GB"/>
        </w:rPr>
        <w:t xml:space="preserve"> </w:t>
      </w:r>
      <w:hyperlink r:id="rId5" w:tgtFrame="_blank" w:history="1">
        <w:r w:rsidRPr="005A4171">
          <w:rPr>
            <w:rFonts w:ascii="Calibri" w:eastAsia="Times New Roman" w:hAnsi="Calibri" w:cs="Times New Roman"/>
            <w:color w:val="1155CC"/>
            <w:u w:val="single"/>
            <w:lang w:val="ru-RU" w:eastAsia="en-GB"/>
          </w:rPr>
          <w:t>http://www.nature.com/ncomms/2015/150203/ncomms7214/full/ncomms7214.html</w:t>
        </w:r>
      </w:hyperlink>
      <w:r w:rsidRPr="005A4171">
        <w:rPr>
          <w:rFonts w:ascii="Calibri" w:eastAsia="Times New Roman" w:hAnsi="Calibri" w:cs="Times New Roman"/>
          <w:color w:val="222222"/>
          <w:lang w:val="ru-RU" w:eastAsia="en-GB"/>
        </w:rPr>
        <w:t>.</w:t>
      </w:r>
    </w:p>
    <w:p w14:paraId="1E3731D1" w14:textId="77777777" w:rsidR="002D71A4" w:rsidRDefault="002D71A4" w:rsidP="005A41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val="ru-RU" w:eastAsia="en-GB"/>
        </w:rPr>
      </w:pPr>
    </w:p>
    <w:p w14:paraId="467ED1F4" w14:textId="72006126" w:rsidR="005A4171" w:rsidRPr="006549ED" w:rsidRDefault="005A4171" w:rsidP="005A41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val="ru-RU" w:eastAsia="en-GB"/>
        </w:rPr>
      </w:pPr>
      <w:r w:rsidRPr="005A4171">
        <w:rPr>
          <w:rFonts w:ascii="Calibri" w:eastAsia="Times New Roman" w:hAnsi="Calibri" w:cs="Times New Roman"/>
          <w:color w:val="222222"/>
          <w:lang w:val="ru-RU" w:eastAsia="en-GB"/>
        </w:rPr>
        <w:t>Ученые Института авто</w:t>
      </w:r>
      <w:r w:rsidR="006549ED">
        <w:rPr>
          <w:rFonts w:ascii="Calibri" w:eastAsia="Times New Roman" w:hAnsi="Calibri" w:cs="Times New Roman"/>
          <w:color w:val="222222"/>
          <w:lang w:val="ru-RU" w:eastAsia="en-GB"/>
        </w:rPr>
        <w:t>матики и электрометрии СО РАН</w:t>
      </w:r>
      <w:r w:rsidR="006549ED" w:rsidRPr="006549ED">
        <w:rPr>
          <w:rFonts w:ascii="Calibri" w:eastAsia="Times New Roman" w:hAnsi="Calibri" w:cs="Times New Roman"/>
          <w:color w:val="222222"/>
          <w:lang w:val="ru-RU" w:eastAsia="en-GB"/>
        </w:rPr>
        <w:t xml:space="preserve">, </w:t>
      </w:r>
      <w:r w:rsidRPr="005A4171">
        <w:rPr>
          <w:rFonts w:ascii="Calibri" w:eastAsia="Times New Roman" w:hAnsi="Calibri" w:cs="Times New Roman"/>
          <w:color w:val="222222"/>
          <w:lang w:val="ru-RU" w:eastAsia="en-GB"/>
        </w:rPr>
        <w:t xml:space="preserve">Института теоретической физики им. Л.Д. Ландау РАН </w:t>
      </w:r>
      <w:r w:rsidR="006549ED">
        <w:rPr>
          <w:rFonts w:ascii="Calibri" w:eastAsia="Times New Roman" w:hAnsi="Calibri" w:cs="Times New Roman"/>
          <w:color w:val="222222"/>
          <w:lang w:val="ru-RU" w:eastAsia="en-GB"/>
        </w:rPr>
        <w:t xml:space="preserve">и </w:t>
      </w:r>
      <w:r w:rsidR="006549ED" w:rsidRPr="005A4171">
        <w:rPr>
          <w:rFonts w:ascii="Calibri" w:eastAsia="Times New Roman" w:hAnsi="Calibri" w:cs="Times New Roman"/>
          <w:color w:val="222222"/>
          <w:lang w:val="ru-RU" w:eastAsia="en-GB"/>
        </w:rPr>
        <w:t xml:space="preserve">Астонского университета (Англия) </w:t>
      </w:r>
      <w:r w:rsidRPr="005A4171">
        <w:rPr>
          <w:rFonts w:ascii="Calibri" w:eastAsia="Times New Roman" w:hAnsi="Calibri" w:cs="Times New Roman"/>
          <w:color w:val="222222"/>
          <w:lang w:val="ru-RU" w:eastAsia="en-GB"/>
        </w:rPr>
        <w:t xml:space="preserve">в сотрудничестве с учеными Новосибирского государственного университета, </w:t>
      </w:r>
      <w:r w:rsidR="00AC55E1">
        <w:rPr>
          <w:rFonts w:ascii="Calibri" w:eastAsia="Times New Roman" w:hAnsi="Calibri" w:cs="Times New Roman"/>
          <w:color w:val="222222"/>
          <w:lang w:val="ru-RU" w:eastAsia="en-GB"/>
        </w:rPr>
        <w:t xml:space="preserve">Московского физико-технического института, </w:t>
      </w:r>
      <w:r w:rsidRPr="005A4171">
        <w:rPr>
          <w:rFonts w:ascii="Calibri" w:eastAsia="Times New Roman" w:hAnsi="Calibri" w:cs="Times New Roman"/>
          <w:color w:val="222222"/>
          <w:lang w:val="ru-RU" w:eastAsia="en-GB"/>
        </w:rPr>
        <w:t>Института ядерной физики им. Г.И. Будкера СО РАН и Вай</w:t>
      </w:r>
      <w:r w:rsidR="002D71A4">
        <w:rPr>
          <w:rFonts w:ascii="Calibri" w:eastAsia="Times New Roman" w:hAnsi="Calibri" w:cs="Times New Roman"/>
          <w:color w:val="222222"/>
          <w:lang w:val="ru-RU" w:eastAsia="en-GB"/>
        </w:rPr>
        <w:t>ц</w:t>
      </w:r>
      <w:r w:rsidRPr="005A4171">
        <w:rPr>
          <w:rFonts w:ascii="Calibri" w:eastAsia="Times New Roman" w:hAnsi="Calibri" w:cs="Times New Roman"/>
          <w:color w:val="222222"/>
          <w:lang w:val="ru-RU" w:eastAsia="en-GB"/>
        </w:rPr>
        <w:t>манского института (Израиль) опубликовали результаты своего трехлетнего исследования.</w:t>
      </w:r>
    </w:p>
    <w:p w14:paraId="0A494BDF" w14:textId="77777777" w:rsidR="005A4171" w:rsidRPr="006549ED" w:rsidRDefault="005A4171" w:rsidP="005A41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val="ru-RU" w:eastAsia="en-GB"/>
        </w:rPr>
      </w:pPr>
      <w:r w:rsidRPr="005A4171">
        <w:rPr>
          <w:rFonts w:ascii="Calibri" w:eastAsia="Times New Roman" w:hAnsi="Calibri" w:cs="Times New Roman"/>
          <w:color w:val="222222"/>
          <w:lang w:val="ru-RU" w:eastAsia="en-GB"/>
        </w:rPr>
        <w:t> </w:t>
      </w:r>
    </w:p>
    <w:p w14:paraId="38F04F67" w14:textId="0DF9D10E" w:rsidR="005472FD" w:rsidRDefault="005F5A84" w:rsidP="005472FD">
      <w:pPr>
        <w:shd w:val="clear" w:color="auto" w:fill="FFFFFF"/>
        <w:spacing w:after="0" w:line="240" w:lineRule="auto"/>
        <w:jc w:val="both"/>
        <w:rPr>
          <w:lang w:val="ru-RU"/>
        </w:rPr>
      </w:pPr>
      <w:r>
        <w:rPr>
          <w:lang w:val="ru-RU"/>
        </w:rPr>
        <w:t>Традиционный подход к опис</w:t>
      </w:r>
      <w:r w:rsidR="00E21E7E">
        <w:rPr>
          <w:lang w:val="ru-RU"/>
        </w:rPr>
        <w:t xml:space="preserve">анию </w:t>
      </w:r>
      <w:r w:rsidR="006553D5">
        <w:rPr>
          <w:lang w:val="ru-RU"/>
        </w:rPr>
        <w:t xml:space="preserve">нелинейных </w:t>
      </w:r>
      <w:r w:rsidR="00E21E7E">
        <w:rPr>
          <w:lang w:val="ru-RU"/>
        </w:rPr>
        <w:t>систем с большим количеством степене</w:t>
      </w:r>
      <w:r w:rsidR="00E140E6">
        <w:rPr>
          <w:lang w:val="ru-RU"/>
        </w:rPr>
        <w:t xml:space="preserve">й свободы </w:t>
      </w:r>
      <w:r w:rsidR="002D71A4">
        <w:rPr>
          <w:lang w:val="ru-RU"/>
        </w:rPr>
        <w:t>заключается в кинетическом описании равновесного состояния системы. При этом предполагается, что система приходит к статистически равновесному состоянию в результате однородной эволюции по времени. В своей работе российские физики пересмотрели основы волнового кинетического подхода и построили формализм, позволяющий описывать состояние систем, которые приходят к равновесному состоянию в процессе циклической, а не однородной эволюции</w:t>
      </w:r>
      <w:r w:rsidR="000763F1">
        <w:rPr>
          <w:lang w:val="ru-RU"/>
        </w:rPr>
        <w:t xml:space="preserve">. </w:t>
      </w:r>
      <w:r w:rsidR="002D71A4">
        <w:rPr>
          <w:lang w:val="ru-RU"/>
        </w:rPr>
        <w:t xml:space="preserve">Такая ситуация естественным образом реализуется в оптических системах, например, в </w:t>
      </w:r>
      <w:r w:rsidR="00DF2E57">
        <w:rPr>
          <w:lang w:val="ru-RU"/>
        </w:rPr>
        <w:t>лазерах</w:t>
      </w:r>
      <w:r w:rsidR="002D71A4">
        <w:rPr>
          <w:lang w:val="ru-RU"/>
        </w:rPr>
        <w:t xml:space="preserve">, в которых свет </w:t>
      </w:r>
      <w:r w:rsidR="00BF24BC">
        <w:rPr>
          <w:lang w:val="ru-RU"/>
        </w:rPr>
        <w:t>совершает</w:t>
      </w:r>
      <w:r w:rsidR="00DF2E57">
        <w:rPr>
          <w:lang w:val="ru-RU"/>
        </w:rPr>
        <w:t xml:space="preserve"> большое количество обходов </w:t>
      </w:r>
      <w:r w:rsidR="00BF24BC">
        <w:rPr>
          <w:lang w:val="ru-RU"/>
        </w:rPr>
        <w:t xml:space="preserve">оптического </w:t>
      </w:r>
      <w:r w:rsidR="00DF2E57">
        <w:rPr>
          <w:lang w:val="ru-RU"/>
        </w:rPr>
        <w:t>р</w:t>
      </w:r>
      <w:r w:rsidR="003777CA">
        <w:rPr>
          <w:lang w:val="ru-RU"/>
        </w:rPr>
        <w:t xml:space="preserve">езонатора, </w:t>
      </w:r>
      <w:r w:rsidR="002D71A4">
        <w:rPr>
          <w:lang w:val="ru-RU"/>
        </w:rPr>
        <w:t>прежде чем будет достигнут равновесный режим генерации</w:t>
      </w:r>
      <w:r w:rsidR="00607551">
        <w:rPr>
          <w:lang w:val="ru-RU"/>
        </w:rPr>
        <w:t>.</w:t>
      </w:r>
      <w:r w:rsidR="002D71A4">
        <w:rPr>
          <w:lang w:val="ru-RU"/>
        </w:rPr>
        <w:t xml:space="preserve"> Развитый формализм был использован для описания спектра излучения лазера нового типа</w:t>
      </w:r>
      <w:r w:rsidR="00F84DDC">
        <w:rPr>
          <w:lang w:val="ru-RU"/>
        </w:rPr>
        <w:t xml:space="preserve"> </w:t>
      </w:r>
      <w:r w:rsidR="002D71A4">
        <w:rPr>
          <w:lang w:val="ru-RU"/>
        </w:rPr>
        <w:t>- случайного волоконного лазера, концепция которых активно развивается в последние несколько лет. На примере данного лазера, авторами впервые была построена нелинейная статистическая теория формирования спектра лазерного излучения, тем самым был расширен</w:t>
      </w:r>
      <w:r w:rsidR="00F84DDC">
        <w:rPr>
          <w:lang w:val="ru-RU"/>
        </w:rPr>
        <w:t xml:space="preserve"> подход нобелевских </w:t>
      </w:r>
      <w:r w:rsidR="00A15296">
        <w:rPr>
          <w:lang w:val="ru-RU"/>
        </w:rPr>
        <w:t xml:space="preserve">лауреатов </w:t>
      </w:r>
      <w:r w:rsidR="00F84DDC">
        <w:rPr>
          <w:lang w:val="ru-RU"/>
        </w:rPr>
        <w:t xml:space="preserve">А. </w:t>
      </w:r>
      <w:r w:rsidR="00A15296">
        <w:rPr>
          <w:lang w:val="ru-RU"/>
        </w:rPr>
        <w:t xml:space="preserve">Шавлова и </w:t>
      </w:r>
      <w:r w:rsidR="00F84DDC">
        <w:rPr>
          <w:lang w:val="ru-RU"/>
        </w:rPr>
        <w:t xml:space="preserve">Ч. </w:t>
      </w:r>
      <w:r w:rsidR="00A15296">
        <w:rPr>
          <w:lang w:val="ru-RU"/>
        </w:rPr>
        <w:t xml:space="preserve">Таунса, более 50 лет назад описавших принципы формирования спектра лазерного излучения в рамках линейной теории. </w:t>
      </w:r>
      <w:r w:rsidR="00F84DDC">
        <w:rPr>
          <w:lang w:val="ru-RU"/>
        </w:rPr>
        <w:t>Специально проведенный эксперимент подтвердил предсказания развитой нелинейной теории.</w:t>
      </w:r>
    </w:p>
    <w:p w14:paraId="7622EE64" w14:textId="77777777" w:rsidR="008C57DA" w:rsidRDefault="008C57DA" w:rsidP="005A4171">
      <w:pPr>
        <w:shd w:val="clear" w:color="auto" w:fill="FFFFFF"/>
        <w:spacing w:after="0" w:line="240" w:lineRule="auto"/>
        <w:jc w:val="both"/>
        <w:rPr>
          <w:lang w:val="ru-RU"/>
        </w:rPr>
      </w:pPr>
    </w:p>
    <w:p w14:paraId="35207993" w14:textId="73DA04DF" w:rsidR="008C57DA" w:rsidRDefault="002D71A4" w:rsidP="005A4171">
      <w:pPr>
        <w:shd w:val="clear" w:color="auto" w:fill="FFFFFF"/>
        <w:spacing w:after="0" w:line="240" w:lineRule="auto"/>
        <w:jc w:val="both"/>
        <w:rPr>
          <w:lang w:val="ru-RU"/>
        </w:rPr>
      </w:pPr>
      <w:r>
        <w:rPr>
          <w:lang w:val="ru-RU"/>
        </w:rPr>
        <w:t>Случайные волоконные лазеры привлекаю</w:t>
      </w:r>
      <w:r w:rsidR="006461DD">
        <w:rPr>
          <w:lang w:val="ru-RU"/>
        </w:rPr>
        <w:t xml:space="preserve">т </w:t>
      </w:r>
      <w:r w:rsidR="009D39FA">
        <w:rPr>
          <w:lang w:val="ru-RU"/>
        </w:rPr>
        <w:t>большое внимание исследователей благодаря широкому спектру возможных применений, и умение предсказывать и управлять</w:t>
      </w:r>
      <w:r w:rsidR="00855C7B">
        <w:rPr>
          <w:lang w:val="ru-RU"/>
        </w:rPr>
        <w:t xml:space="preserve"> свойствами спектра</w:t>
      </w:r>
      <w:r w:rsidR="009D39FA">
        <w:rPr>
          <w:lang w:val="ru-RU"/>
        </w:rPr>
        <w:t xml:space="preserve"> </w:t>
      </w:r>
      <w:r w:rsidR="00F84DDC">
        <w:rPr>
          <w:lang w:val="ru-RU"/>
        </w:rPr>
        <w:t>излучения таких лазеров</w:t>
      </w:r>
      <w:r w:rsidR="009D39FA">
        <w:rPr>
          <w:lang w:val="ru-RU"/>
        </w:rPr>
        <w:t xml:space="preserve"> является </w:t>
      </w:r>
      <w:r>
        <w:rPr>
          <w:lang w:val="ru-RU"/>
        </w:rPr>
        <w:t xml:space="preserve">важным </w:t>
      </w:r>
      <w:r w:rsidR="009D39FA">
        <w:rPr>
          <w:lang w:val="ru-RU"/>
        </w:rPr>
        <w:t>достижением</w:t>
      </w:r>
      <w:r w:rsidR="00F84DDC">
        <w:rPr>
          <w:lang w:val="ru-RU"/>
        </w:rPr>
        <w:t xml:space="preserve"> как в фундаментально</w:t>
      </w:r>
      <w:r>
        <w:rPr>
          <w:lang w:val="ru-RU"/>
        </w:rPr>
        <w:t>м, так и в практическом плане</w:t>
      </w:r>
      <w:r w:rsidR="009D39FA">
        <w:rPr>
          <w:lang w:val="ru-RU"/>
        </w:rPr>
        <w:t xml:space="preserve">. </w:t>
      </w:r>
    </w:p>
    <w:p w14:paraId="39E4D0FF" w14:textId="77777777" w:rsidR="00A652CC" w:rsidRDefault="00A652CC" w:rsidP="005A4171">
      <w:pPr>
        <w:shd w:val="clear" w:color="auto" w:fill="FFFFFF"/>
        <w:spacing w:after="0" w:line="240" w:lineRule="auto"/>
        <w:jc w:val="both"/>
        <w:rPr>
          <w:lang w:val="ru-RU"/>
        </w:rPr>
      </w:pPr>
    </w:p>
    <w:p w14:paraId="1A32A340" w14:textId="7E3A3BBE" w:rsidR="005A4171" w:rsidRDefault="005A4171" w:rsidP="005A41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val="ru-RU" w:eastAsia="en-GB"/>
        </w:rPr>
      </w:pPr>
      <w:r w:rsidRPr="005A4171">
        <w:rPr>
          <w:rFonts w:ascii="Calibri" w:eastAsia="Times New Roman" w:hAnsi="Calibri" w:cs="Times New Roman"/>
          <w:color w:val="222222"/>
          <w:lang w:val="ru-RU" w:eastAsia="en-GB"/>
        </w:rPr>
        <w:t xml:space="preserve">Результаты </w:t>
      </w:r>
      <w:r w:rsidR="002D71A4">
        <w:rPr>
          <w:rFonts w:ascii="Calibri" w:eastAsia="Times New Roman" w:hAnsi="Calibri" w:cs="Times New Roman"/>
          <w:color w:val="222222"/>
          <w:lang w:val="ru-RU" w:eastAsia="en-GB"/>
        </w:rPr>
        <w:t xml:space="preserve">работы </w:t>
      </w:r>
      <w:r w:rsidRPr="005A4171">
        <w:rPr>
          <w:rFonts w:ascii="Calibri" w:eastAsia="Times New Roman" w:hAnsi="Calibri" w:cs="Times New Roman"/>
          <w:color w:val="222222"/>
          <w:lang w:val="ru-RU" w:eastAsia="en-GB"/>
        </w:rPr>
        <w:t>могут быть применены для описания нелинейной эволюции в широк</w:t>
      </w:r>
      <w:r w:rsidR="008E0540">
        <w:rPr>
          <w:rFonts w:ascii="Calibri" w:eastAsia="Times New Roman" w:hAnsi="Calibri" w:cs="Times New Roman"/>
          <w:color w:val="222222"/>
          <w:lang w:val="ru-RU" w:eastAsia="en-GB"/>
        </w:rPr>
        <w:t xml:space="preserve">ом классе диссипативных систем. Помимо оптических систем, таких как </w:t>
      </w:r>
      <w:r w:rsidR="00160F7A">
        <w:rPr>
          <w:rFonts w:ascii="Calibri" w:eastAsia="Times New Roman" w:hAnsi="Calibri" w:cs="Times New Roman"/>
          <w:color w:val="222222"/>
          <w:lang w:val="ru-RU" w:eastAsia="en-GB"/>
        </w:rPr>
        <w:t>лазеры с нестабилизированным рез</w:t>
      </w:r>
      <w:r w:rsidR="00F84DDC">
        <w:rPr>
          <w:rFonts w:ascii="Calibri" w:eastAsia="Times New Roman" w:hAnsi="Calibri" w:cs="Times New Roman"/>
          <w:color w:val="222222"/>
          <w:lang w:val="ru-RU" w:eastAsia="en-GB"/>
        </w:rPr>
        <w:t>онатором, многомодовые</w:t>
      </w:r>
      <w:r w:rsidR="00160F7A">
        <w:rPr>
          <w:rFonts w:ascii="Calibri" w:eastAsia="Times New Roman" w:hAnsi="Calibri" w:cs="Times New Roman"/>
          <w:color w:val="222222"/>
          <w:lang w:val="ru-RU" w:eastAsia="en-GB"/>
        </w:rPr>
        <w:t xml:space="preserve"> лазеры, </w:t>
      </w:r>
      <w:r w:rsidR="00F84DDC">
        <w:rPr>
          <w:rFonts w:ascii="Calibri" w:eastAsia="Times New Roman" w:hAnsi="Calibri" w:cs="Times New Roman"/>
          <w:color w:val="222222"/>
          <w:lang w:val="ru-RU" w:eastAsia="en-GB"/>
        </w:rPr>
        <w:t xml:space="preserve">периодические системы передачи данных, </w:t>
      </w:r>
      <w:r w:rsidR="00160F7A">
        <w:rPr>
          <w:rFonts w:ascii="Calibri" w:eastAsia="Times New Roman" w:hAnsi="Calibri" w:cs="Times New Roman"/>
          <w:color w:val="222222"/>
          <w:lang w:val="ru-RU" w:eastAsia="en-GB"/>
        </w:rPr>
        <w:t>предложенный подход будет по</w:t>
      </w:r>
      <w:r w:rsidR="002D71A4">
        <w:rPr>
          <w:rFonts w:ascii="Calibri" w:eastAsia="Times New Roman" w:hAnsi="Calibri" w:cs="Times New Roman"/>
          <w:color w:val="222222"/>
          <w:lang w:val="ru-RU" w:eastAsia="en-GB"/>
        </w:rPr>
        <w:t>лезен для решения задач в метеор</w:t>
      </w:r>
      <w:r w:rsidR="00160F7A">
        <w:rPr>
          <w:rFonts w:ascii="Calibri" w:eastAsia="Times New Roman" w:hAnsi="Calibri" w:cs="Times New Roman"/>
          <w:color w:val="222222"/>
          <w:lang w:val="ru-RU" w:eastAsia="en-GB"/>
        </w:rPr>
        <w:t>ологии</w:t>
      </w:r>
      <w:r w:rsidR="00F84DDC">
        <w:rPr>
          <w:rFonts w:ascii="Calibri" w:eastAsia="Times New Roman" w:hAnsi="Calibri" w:cs="Times New Roman"/>
          <w:color w:val="222222"/>
          <w:lang w:val="ru-RU" w:eastAsia="en-GB"/>
        </w:rPr>
        <w:t xml:space="preserve"> (описание долговременных усредненных годичных колебаний температуры при учете суточного и годичного циклов)</w:t>
      </w:r>
      <w:r w:rsidR="00160F7A">
        <w:rPr>
          <w:rFonts w:ascii="Calibri" w:eastAsia="Times New Roman" w:hAnsi="Calibri" w:cs="Times New Roman"/>
          <w:color w:val="222222"/>
          <w:lang w:val="ru-RU" w:eastAsia="en-GB"/>
        </w:rPr>
        <w:t>,</w:t>
      </w:r>
      <w:r w:rsidR="002D71A4">
        <w:rPr>
          <w:rFonts w:ascii="Calibri" w:eastAsia="Times New Roman" w:hAnsi="Calibri" w:cs="Times New Roman"/>
          <w:color w:val="222222"/>
          <w:lang w:val="ru-RU" w:eastAsia="en-GB"/>
        </w:rPr>
        <w:t xml:space="preserve"> описании процессов циркуляции крови в организме </w:t>
      </w:r>
      <w:r w:rsidR="00F84DDC">
        <w:rPr>
          <w:rFonts w:ascii="Calibri" w:eastAsia="Times New Roman" w:hAnsi="Calibri" w:cs="Times New Roman"/>
          <w:color w:val="222222"/>
          <w:lang w:val="ru-RU" w:eastAsia="en-GB"/>
        </w:rPr>
        <w:t xml:space="preserve">(например, перестройка функций организма при переходе из ходьбы в бег с учетом сердечного ритма) </w:t>
      </w:r>
      <w:r w:rsidR="002D71A4">
        <w:rPr>
          <w:rFonts w:ascii="Calibri" w:eastAsia="Times New Roman" w:hAnsi="Calibri" w:cs="Times New Roman"/>
          <w:color w:val="222222"/>
          <w:lang w:val="ru-RU" w:eastAsia="en-GB"/>
        </w:rPr>
        <w:t>и прочих системах, в которых имеется циклическая эволюция</w:t>
      </w:r>
      <w:r w:rsidR="00F84DDC">
        <w:rPr>
          <w:rFonts w:ascii="Calibri" w:eastAsia="Times New Roman" w:hAnsi="Calibri" w:cs="Times New Roman"/>
          <w:color w:val="222222"/>
          <w:lang w:val="ru-RU" w:eastAsia="en-GB"/>
        </w:rPr>
        <w:t xml:space="preserve"> по заданному масштабу времени.</w:t>
      </w:r>
      <w:r w:rsidR="002D71A4">
        <w:rPr>
          <w:rFonts w:ascii="Calibri" w:eastAsia="Times New Roman" w:hAnsi="Calibri" w:cs="Times New Roman"/>
          <w:color w:val="222222"/>
          <w:lang w:val="ru-RU" w:eastAsia="en-GB"/>
        </w:rPr>
        <w:t xml:space="preserve"> </w:t>
      </w:r>
    </w:p>
    <w:p w14:paraId="4AC43BDB" w14:textId="77777777" w:rsidR="006549ED" w:rsidRDefault="006549ED" w:rsidP="005A41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val="ru-RU" w:eastAsia="en-GB"/>
        </w:rPr>
      </w:pPr>
    </w:p>
    <w:p w14:paraId="653917EC" w14:textId="1D76C78C" w:rsidR="006549ED" w:rsidRDefault="006549ED" w:rsidP="005A41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val="ru-RU" w:eastAsia="en-GB"/>
        </w:rPr>
      </w:pPr>
      <w:r>
        <w:rPr>
          <w:rFonts w:ascii="Calibri" w:eastAsia="Times New Roman" w:hAnsi="Calibri" w:cs="Times New Roman"/>
          <w:color w:val="222222"/>
          <w:lang w:val="ru-RU" w:eastAsia="en-GB"/>
        </w:rPr>
        <w:t xml:space="preserve">Отметим, что подавляющее большинство соавторов работы – выпускники Новосибирского государственного университета. </w:t>
      </w:r>
    </w:p>
    <w:p w14:paraId="23AD9536" w14:textId="77777777" w:rsidR="002D71A4" w:rsidRDefault="002D71A4" w:rsidP="005A41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val="ru-RU" w:eastAsia="en-GB"/>
        </w:rPr>
      </w:pPr>
    </w:p>
    <w:p w14:paraId="5D1F457C" w14:textId="139BE1AC" w:rsidR="005A4171" w:rsidRPr="005F5A84" w:rsidRDefault="00F84DDC" w:rsidP="00AC55E1">
      <w:pPr>
        <w:shd w:val="clear" w:color="auto" w:fill="FFFFFF"/>
        <w:spacing w:after="0" w:line="240" w:lineRule="auto"/>
        <w:jc w:val="both"/>
        <w:rPr>
          <w:lang w:val="ru-RU"/>
        </w:rPr>
      </w:pPr>
      <w:r>
        <w:rPr>
          <w:rFonts w:ascii="Calibri" w:eastAsia="Times New Roman" w:hAnsi="Calibri" w:cs="Times New Roman"/>
          <w:color w:val="222222"/>
          <w:lang w:val="ru-RU" w:eastAsia="en-GB"/>
        </w:rPr>
        <w:t>З</w:t>
      </w:r>
      <w:r w:rsidR="002D71A4">
        <w:rPr>
          <w:rFonts w:ascii="Calibri" w:eastAsia="Times New Roman" w:hAnsi="Calibri" w:cs="Times New Roman"/>
          <w:color w:val="222222"/>
          <w:lang w:val="ru-RU" w:eastAsia="en-GB"/>
        </w:rPr>
        <w:t>апрос дополнительно</w:t>
      </w:r>
      <w:r>
        <w:rPr>
          <w:rFonts w:ascii="Calibri" w:eastAsia="Times New Roman" w:hAnsi="Calibri" w:cs="Times New Roman"/>
          <w:color w:val="222222"/>
          <w:lang w:val="ru-RU" w:eastAsia="en-GB"/>
        </w:rPr>
        <w:t>й информации</w:t>
      </w:r>
      <w:r w:rsidR="002D71A4">
        <w:rPr>
          <w:rFonts w:ascii="Calibri" w:eastAsia="Times New Roman" w:hAnsi="Calibri" w:cs="Times New Roman"/>
          <w:color w:val="222222"/>
          <w:lang w:val="ru-RU" w:eastAsia="en-GB"/>
        </w:rPr>
        <w:t xml:space="preserve"> по адресу </w:t>
      </w:r>
      <w:hyperlink r:id="rId6" w:history="1">
        <w:r w:rsidR="002D71A4" w:rsidRPr="009D38B8">
          <w:rPr>
            <w:rStyle w:val="Hyperlink"/>
            <w:rFonts w:ascii="Calibri" w:eastAsia="Times New Roman" w:hAnsi="Calibri" w:cs="Times New Roman"/>
            <w:lang w:val="en-US" w:eastAsia="en-GB"/>
          </w:rPr>
          <w:t>novolaser</w:t>
        </w:r>
        <w:r w:rsidR="002D71A4" w:rsidRPr="006549ED">
          <w:rPr>
            <w:rStyle w:val="Hyperlink"/>
            <w:rFonts w:ascii="Calibri" w:eastAsia="Times New Roman" w:hAnsi="Calibri" w:cs="Times New Roman"/>
            <w:lang w:val="ru-RU" w:eastAsia="en-GB"/>
          </w:rPr>
          <w:t>@</w:t>
        </w:r>
        <w:r w:rsidR="002D71A4" w:rsidRPr="009D38B8">
          <w:rPr>
            <w:rStyle w:val="Hyperlink"/>
            <w:rFonts w:ascii="Calibri" w:eastAsia="Times New Roman" w:hAnsi="Calibri" w:cs="Times New Roman"/>
            <w:lang w:val="en-US" w:eastAsia="en-GB"/>
          </w:rPr>
          <w:t>gmail</w:t>
        </w:r>
        <w:r w:rsidR="002D71A4" w:rsidRPr="006549ED">
          <w:rPr>
            <w:rStyle w:val="Hyperlink"/>
            <w:rFonts w:ascii="Calibri" w:eastAsia="Times New Roman" w:hAnsi="Calibri" w:cs="Times New Roman"/>
            <w:lang w:val="ru-RU" w:eastAsia="en-GB"/>
          </w:rPr>
          <w:t>.</w:t>
        </w:r>
        <w:r w:rsidR="002D71A4" w:rsidRPr="009D38B8">
          <w:rPr>
            <w:rStyle w:val="Hyperlink"/>
            <w:rFonts w:ascii="Calibri" w:eastAsia="Times New Roman" w:hAnsi="Calibri" w:cs="Times New Roman"/>
            <w:lang w:val="en-US" w:eastAsia="en-GB"/>
          </w:rPr>
          <w:t>com</w:t>
        </w:r>
      </w:hyperlink>
      <w:bookmarkStart w:id="0" w:name="_GoBack"/>
      <w:bookmarkEnd w:id="0"/>
    </w:p>
    <w:sectPr w:rsidR="005A4171" w:rsidRPr="005F5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DF"/>
    <w:rsid w:val="00051D1A"/>
    <w:rsid w:val="000763F1"/>
    <w:rsid w:val="000E7B2B"/>
    <w:rsid w:val="001609B9"/>
    <w:rsid w:val="00160F7A"/>
    <w:rsid w:val="00174AF4"/>
    <w:rsid w:val="001827E9"/>
    <w:rsid w:val="00191ECE"/>
    <w:rsid w:val="001B4722"/>
    <w:rsid w:val="00202458"/>
    <w:rsid w:val="002147A0"/>
    <w:rsid w:val="00223210"/>
    <w:rsid w:val="002D71A4"/>
    <w:rsid w:val="00334F72"/>
    <w:rsid w:val="00344AF8"/>
    <w:rsid w:val="003777CA"/>
    <w:rsid w:val="004013D8"/>
    <w:rsid w:val="004F30A5"/>
    <w:rsid w:val="005472FD"/>
    <w:rsid w:val="00576968"/>
    <w:rsid w:val="005A2DD6"/>
    <w:rsid w:val="005A4171"/>
    <w:rsid w:val="005E4F45"/>
    <w:rsid w:val="005F5A84"/>
    <w:rsid w:val="00607551"/>
    <w:rsid w:val="006461DD"/>
    <w:rsid w:val="006549ED"/>
    <w:rsid w:val="006553D5"/>
    <w:rsid w:val="0069779A"/>
    <w:rsid w:val="006A752A"/>
    <w:rsid w:val="006B0A43"/>
    <w:rsid w:val="006E2B6F"/>
    <w:rsid w:val="006E36B5"/>
    <w:rsid w:val="0074045B"/>
    <w:rsid w:val="007E03DC"/>
    <w:rsid w:val="008315C5"/>
    <w:rsid w:val="008553DF"/>
    <w:rsid w:val="00855C7B"/>
    <w:rsid w:val="008C5250"/>
    <w:rsid w:val="008C57DA"/>
    <w:rsid w:val="008D64D9"/>
    <w:rsid w:val="008E0540"/>
    <w:rsid w:val="008F21F1"/>
    <w:rsid w:val="009144BE"/>
    <w:rsid w:val="009D39FA"/>
    <w:rsid w:val="00A15296"/>
    <w:rsid w:val="00A60F7A"/>
    <w:rsid w:val="00A652CC"/>
    <w:rsid w:val="00A92627"/>
    <w:rsid w:val="00AC55E1"/>
    <w:rsid w:val="00B06842"/>
    <w:rsid w:val="00B61EBC"/>
    <w:rsid w:val="00B87A95"/>
    <w:rsid w:val="00BF24BC"/>
    <w:rsid w:val="00C1667A"/>
    <w:rsid w:val="00C76041"/>
    <w:rsid w:val="00D32F39"/>
    <w:rsid w:val="00DB7C21"/>
    <w:rsid w:val="00DC6406"/>
    <w:rsid w:val="00DE62B2"/>
    <w:rsid w:val="00DF2E57"/>
    <w:rsid w:val="00E140E6"/>
    <w:rsid w:val="00E21E7E"/>
    <w:rsid w:val="00EA5FB6"/>
    <w:rsid w:val="00F04777"/>
    <w:rsid w:val="00F524C8"/>
    <w:rsid w:val="00F7203F"/>
    <w:rsid w:val="00F77687"/>
    <w:rsid w:val="00F8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C7C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A4171"/>
  </w:style>
  <w:style w:type="character" w:styleId="Hyperlink">
    <w:name w:val="Hyperlink"/>
    <w:basedOn w:val="DefaultParagraphFont"/>
    <w:uiPriority w:val="99"/>
    <w:unhideWhenUsed/>
    <w:rsid w:val="005A4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A4171"/>
  </w:style>
  <w:style w:type="character" w:styleId="Hyperlink">
    <w:name w:val="Hyperlink"/>
    <w:basedOn w:val="DefaultParagraphFont"/>
    <w:uiPriority w:val="99"/>
    <w:unhideWhenUsed/>
    <w:rsid w:val="005A4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volaser@gmail.com" TargetMode="External"/><Relationship Id="rId5" Type="http://schemas.openxmlformats.org/officeDocument/2006/relationships/hyperlink" Target="http://www.nature.com/ncomms/2015/150203/ncomms7214/full/ncomms721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University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Churkin, Dmitry</cp:lastModifiedBy>
  <cp:revision>67</cp:revision>
  <dcterms:created xsi:type="dcterms:W3CDTF">2015-02-04T12:58:00Z</dcterms:created>
  <dcterms:modified xsi:type="dcterms:W3CDTF">2015-02-05T07:06:00Z</dcterms:modified>
</cp:coreProperties>
</file>