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Темы потенциальных курсовых и дипломных работ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 2023-2024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lang w:val="ru-RU"/>
        </w:rPr>
      </w:pPr>
      <w:r>
        <w:rPr>
          <w:rStyle w:val="862"/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Лаборатория физики лазеров (№1)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lang w:val="ru-RU"/>
        </w:rPr>
      </w:r>
    </w:p>
    <w:p>
      <w:pPr>
        <w:spacing w:after="0" w:line="240" w:lineRule="auto"/>
        <w:rPr>
          <w:color w:val="7030a0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к.ф.-м.н.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/>
        </w:rPr>
        <w:t xml:space="preserve">Микерин Сергей Львович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 </w:t>
      </w:r>
      <w:hyperlink r:id="rId9" w:tooltip="mailto:mikerinsl@iae.sbras.r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lang w:val="ru-RU"/>
          </w:rPr>
          <w:t xml:space="preserve">mikerinsl@iae.sbras.ru</w:t>
        </w:r>
      </w:hyperlink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</w:r>
      <w:r>
        <w:rPr>
          <w:color w:val="7030a0"/>
          <w:lang w:val="ru-RU"/>
        </w:rPr>
      </w:r>
    </w:p>
    <w:p>
      <w:pPr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Дипломные работы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Цифровая камера для научных исследований на основе CMOS матрицы MT9M034 и процессора NXP i.MX6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Теоретическое исследование Tm:YAG-лазера с модуляцией добротности и синхронизацией мод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спектрально-когерентного метода измерения оптической толщины прозрачных пленок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исследование метода измерения высоты ступеньки с помощью вибростойкого двухлучевого перестраиваемого интерферометра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Автоматизация светосильного монохроматора МДР-23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Схемотехника и программное обеспечение универсального модуля сбора данных для оптических измерений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Сравнение чувствительности, быстродействия и шумов детекторов оптического излучения различных типов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4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механического блока для оптических измерений методом Z-scan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Курсовые работы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Сравнение чувствительности, быстродействия и шумов детекторов оптического излучения на основе ФЭУ и кремниевого фотодиода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оптимальных условий травления полимерных слоев в кислородной плазме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толщины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еталлической пленки по оптическим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спектрам пропускания и отражения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Определение условий и скорости осаждения металлических пленок методом магнетронного распыления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Расчет термических искажений в активном кристалле Nd:YAG, Nd:YVO4-лазере с поперечной накачкой лазерными диодами и линеаризация градиента температуры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Измерение электрооптического эффекта в хромофорсодержащих полимерах поляризационным методом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Расчет поперечных мод в лазерном резонаторе и определен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ие условий для синхронизации мод методом СЗАОМ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Расчет усиления импульса в монолитном резонаторе на кристалле Nd/Cr:YAG с насыщающимся поглотителем на основе ионов Cr2+ в матрице YAG и условия для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генерации гигантского импульса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</w:r>
      <w:bookmarkStart w:id="0" w:name="undefined"/>
      <w:r>
        <w:rPr>
          <w:sz w:val="24"/>
          <w:szCs w:val="24"/>
          <w:highlight w:val="none"/>
          <w:lang w:val="ru-RU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Методы измерения показателя преломления слоев планарных образцов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60"/>
        <w:numPr>
          <w:ilvl w:val="0"/>
          <w:numId w:val="25"/>
        </w:numPr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Расчет и изготовление интерферометра Фабри-Перо с температурно-независимой базой</w:t>
      </w:r>
      <w:r>
        <w:rPr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Лаборатория нелинейной физики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(№3),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д.ф.-м.н.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Комаров Андрей Константинович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/>
        </w:rPr>
        <w:t xml:space="preserve"> </w:t>
      </w:r>
      <w:hyperlink r:id="rId10" w:tooltip="http://andnsk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lang w:val="ru-RU"/>
          </w:rPr>
          <w:t xml:space="preserve">andnsk@iae.nsk.su</w:t>
        </w:r>
      </w:hyperlink>
      <w:r>
        <w:rPr>
          <w:rFonts w:ascii="Times New Roman" w:hAnsi="Times New Roman" w:eastAsia="Times New Roman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none"/>
          <w:lang w:val="ru-RU"/>
        </w:rPr>
      </w:pP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Дипломные</w:t>
      </w: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исленное моделирование динамики волоконных лазеров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Лаборатория спектроскопии конденсированных сред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(№4)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д.ф.-м.н.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/>
        </w:rPr>
        <w:t xml:space="preserve">Суровцев Николай Владимирович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 </w:t>
      </w:r>
      <w:hyperlink r:id="rId11" w:tooltip="mailto:snv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single"/>
            <w:lang w:val="ru-RU"/>
          </w:rPr>
          <w:t xml:space="preserve">snv@iae.nsk.su</w:t>
        </w:r>
      </w:hyperlink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color w:val="7030a0"/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color w:val="000000"/>
          <w:sz w:val="24"/>
          <w:szCs w:val="24"/>
          <w:highlight w:val="none"/>
          <w:lang w:val="ru-RU"/>
        </w:rPr>
      </w:pP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Дипломные</w:t>
      </w: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9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Исследование колебательных спектров воды стеклующихся водных растворов и/или белков методом комбинационного рассеяния света с целью поиска спек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тральной информации о локальных конфигурациях молекул и выяснения их роли в стекловании/свойствах белков. (Работа связана с изучением литературы, приготовлением образцов, проведением экспериментов, анализом данных).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9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Исследование планарных сло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ё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в фосфолипидов как моделей биологических мембран методом комбинационного рассеяния света с целью развития методики и применения к биологическим мембранам.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Изучение возможностей методики для получения актуальной информации о биологических мембранах. (Работа связана с изучением литературы, приготовлением образцов, проведением экспериментов, анализом данных).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9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Развитие метода инфракрасного поглощения света для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характеризации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конформационного состояния фосфолипидов/белков, включая эффект от ковалентных сшивок стабилизирующими растворами, применяемы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ми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в медицине. (Работа связана с изучением литературы, приготовлением образцов, проведением экспериментов, анализом данных).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9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Спектроскопические исследования тонких пл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ё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нок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ниобата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бария стронция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9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Пироэлектрический эффект в пл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ё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нках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ниобата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бария стронция при возбуждении импульсным лазером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 зависимость от доменной структуры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Лаборатория дифракционной оптики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 (№6)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д.т.н.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Корольков Виктор Павлович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 </w:t>
      </w:r>
      <w:hyperlink r:id="rId12" w:tooltip="mailto:victork@iae.nsk.su" w:history="1">
        <w:r>
          <w:rPr>
            <w:rStyle w:val="838"/>
            <w:rFonts w:ascii="Times New Roman" w:hAnsi="Times New Roman" w:eastAsia="Arial" w:cs="Times New Roman"/>
            <w:b/>
            <w:bCs/>
            <w:color w:val="7030a0"/>
            <w:sz w:val="24"/>
            <w:szCs w:val="24"/>
            <w:highlight w:val="yellow"/>
            <w:lang w:val="ru-RU"/>
          </w:rPr>
          <w:t xml:space="preserve">victork@iae.nsk.su</w:t>
        </w:r>
      </w:hyperlink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color w:val="7030a0"/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к.т.н.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/>
        </w:rPr>
        <w:t xml:space="preserve">Седухин Андрей Георгиевич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lang w:val="ru-RU"/>
        </w:rPr>
        <w:t xml:space="preserve"> </w:t>
      </w:r>
      <w:hyperlink r:id="rId13" w:tooltip="mailto:sedukhin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single"/>
            <w:lang w:val="ru-RU"/>
          </w:rPr>
          <w:t xml:space="preserve">sedukhin@iae.nsk.su</w:t>
        </w:r>
      </w:hyperlink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color w:val="7030a0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highlight w:val="none"/>
          <w:lang w:val="ru-RU"/>
        </w:rPr>
        <w:t xml:space="preserve">Дипломные работы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21"/>
        </w:numPr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Разработка метода термохимической лазерной записи полутоновых пропускающих масок для фотолитографии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21"/>
        </w:numPr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Разработка метода оптимизации расчетной топологии 2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D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 амплитудных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микростуктур с целью устранения искажений при термохимической лазерной записи установке с круговым сканированием</w:t>
      </w:r>
      <w:r>
        <w:rPr>
          <w:rFonts w:ascii="Times New Roman" w:hAnsi="Times New Roman" w:cs="Times New Roman"/>
          <w:bCs/>
          <w:iCs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21"/>
        </w:numPr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Разработка метода и установки автоматизированного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контроля дифракционных сенсоров для регистрации долгосрочной нестабильности при лазерной записи компьютерно-синтезированных голограмм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1"/>
        </w:numPr>
        <w:contextualSpacing w:val="0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Синтез структуры и исследование характеристик конвертеров поляризации лазерных пучков на основе многослойных тонкопленочных покрытий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1"/>
        </w:numPr>
        <w:contextualSpacing w:val="0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Разработка и исследование широкодиапазонных дифракционно-растровых аттенюаторов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и аподизаторов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лазерных пучков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  <w:t xml:space="preserve">Курсовая работа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22"/>
        </w:numPr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Исследование преобразования поляризации лазерного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излучения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с помощью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управляемого конвертера поляризации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Arcoptix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22"/>
        </w:numPr>
        <w:contextualSpacing w:val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Измерение функции рассеяния точки высокоапертурного микрообъектива с помощью ножа Фуко 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в установках высокоразрешающей сканирующей лазерной литографии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Лаборатория лазерной графики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№7)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</w:r>
      <w:r>
        <w:rPr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none"/>
          <w:lang w:val="ru-RU"/>
        </w:rPr>
        <w:t xml:space="preserve">кон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тактное лицо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к.т.н.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 Бессмельцев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  <w:t xml:space="preserve"> Виктор Павлович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 </w:t>
      </w:r>
      <w:hyperlink r:id="rId14" w:tooltip="mailto:bessmelt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none"/>
            <w:lang w:val="ru-RU"/>
          </w:rPr>
          <w:t xml:space="preserve">bessmelt@iae.nsk.su</w:t>
        </w:r>
      </w:hyperlink>
      <w:r>
        <w:rPr>
          <w:rFonts w:ascii="Times New Roman" w:hAnsi="Times New Roman" w:cs="Times New Roman"/>
          <w:color w:val="7030a0"/>
          <w:sz w:val="24"/>
          <w:szCs w:val="24"/>
          <w:u w:val="none"/>
          <w:lang w:val="ru-RU"/>
        </w:rPr>
      </w:r>
      <w:r>
        <w:rPr>
          <w:color w:val="7030a0"/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Дипломные работы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0"/>
        </w:num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Исследование механизмов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термоупрочнения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поверхности сверхтв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ё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рдых материалов при обработке мощными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фемтосекундными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импульсами.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0"/>
        </w:num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Разработка оптических методов контроля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SLS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yellow"/>
          <w:lang w:val="ru-RU"/>
        </w:rPr>
        <w:t xml:space="preserve">Лаборатория нечетких технологий</w:t>
      </w:r>
      <w:r>
        <w:rPr>
          <w:rFonts w:ascii="Times New Roman" w:hAnsi="Times New Roman" w:eastAsia="Arial" w:cs="Times New Roman"/>
          <w:b/>
          <w:bCs/>
          <w:sz w:val="24"/>
          <w:szCs w:val="24"/>
          <w:highlight w:val="yellow"/>
          <w:lang w:val="ru-RU"/>
        </w:rPr>
        <w:t xml:space="preserve"> (№9)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кон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тактное лицо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auto"/>
          <w:sz w:val="24"/>
          <w:szCs w:val="24"/>
          <w:highlight w:val="yellow"/>
          <w:lang w:val="ru-RU"/>
        </w:rPr>
        <w:t xml:space="preserve">к.т.н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val="ru-RU"/>
        </w:rPr>
        <w:t xml:space="preserve">Мальцев Александр Сергеевич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</w:t>
      </w:r>
      <w:hyperlink r:id="rId15" w:tooltip="mailto:alexandr@idisys.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single"/>
            <w:lang w:val="ru-RU"/>
          </w:rPr>
          <w:t xml:space="preserve">alexandr@idisys.iae.nsk.su</w:t>
        </w:r>
      </w:hyperlink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</w:r>
      <w:r>
        <w:rPr>
          <w:color w:val="7030a0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Дипломные работы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3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линии связи между двумя малыми беспилотными аппаратами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3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модуля для программно-аппаратного тестирования ПО полетного контроллера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highlight w:val="yellow"/>
          <w:lang w:val="ru-RU"/>
        </w:rPr>
        <w:t xml:space="preserve">Лаборатория синтезирующих систем визуализации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highlight w:val="yellow"/>
          <w:lang w:val="ru-RU"/>
        </w:rPr>
        <w:t xml:space="preserve"> (№14)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к.т.н. Долговесов Борис Степанович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 </w:t>
      </w:r>
      <w:hyperlink r:id="rId16" w:tooltip="mailto:bsd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single"/>
            <w:lang w:val="ru-RU"/>
          </w:rPr>
          <w:t xml:space="preserve">bsd@iae.nsk.su</w:t>
        </w:r>
      </w:hyperlink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lang w:val="ru-RU"/>
        </w:rPr>
        <w:t xml:space="preserve">,</w:t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yellow"/>
          <w:lang w:val="ru-RU"/>
        </w:rPr>
        <w:t xml:space="preserve">Мазурок Борис Сергеевич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ru-RU"/>
        </w:rPr>
        <w:t xml:space="preserve"> </w:t>
      </w:r>
      <w:hyperlink r:id="rId17" w:tooltip="mailto:boris@iae.nsk.su" w:history="1">
        <w:r>
          <w:rPr>
            <w:rStyle w:val="838"/>
            <w:rFonts w:ascii="Times New Roman" w:hAnsi="Times New Roman" w:eastAsia="Times New Roman" w:cs="Times New Roman"/>
            <w:b/>
            <w:bCs/>
            <w:color w:val="7030a0"/>
            <w:sz w:val="24"/>
            <w:szCs w:val="24"/>
            <w:highlight w:val="yellow"/>
            <w:u w:val="single"/>
            <w:lang w:val="ru-RU"/>
          </w:rPr>
          <w:t xml:space="preserve">boris@iae.nsk.su</w:t>
        </w:r>
      </w:hyperlink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Дипломные</w:t>
      </w:r>
      <w:r>
        <w:rPr>
          <w:rStyle w:val="862"/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8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  <w:highlight w:val="none"/>
          <w:lang w:val="ru-RU"/>
        </w:rPr>
      </w:pPr>
      <w:r>
        <w:rPr>
          <w:rStyle w:val="862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Дополненная реальность в интерактивных системах визуализации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(Внедрение 3D объектов в реальную среду, определение положения камеры,</w:t>
        <w:br/>
        <w:t xml:space="preserve"> использование датчиков положения, показаний механических манипуляторов и распознавание объектов видео камеры).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Высокореалистичные алгоритмы 3D визуализации в реальном масштабе времени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(Тени, отражения, прозрачность, ray-tracing, Urho3D, Unreal, Unity)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Лаборатория волоконной оптики (№17)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b/>
          <w:bCs/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none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none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none"/>
          <w:lang w:val="ru-RU"/>
        </w:rPr>
        <w:t xml:space="preserve">д.ф.-м.н.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  <w:t xml:space="preserve">Бабин Сергей Алексеевич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</w:r>
      <w:hyperlink r:id="rId18" w:tooltip="http://babin@aie.nsk.su" w:history="1"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yellow"/>
            <w:u w:val="none"/>
            <w:lang w:val="ru-RU"/>
          </w:rPr>
          <w:t xml:space="preserve">babin@</w:t>
        </w:r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yellow"/>
            <w:u w:val="none"/>
            <w:lang w:val="ru-RU"/>
          </w:rPr>
          <w:t xml:space="preserve">iae.nsk.su</w:t>
        </w:r>
      </w:hyperlink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ru-RU"/>
        </w:rPr>
      </w:r>
      <w:r>
        <w:rPr>
          <w:b/>
          <w:bCs/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К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урсовые работы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6"/>
        </w:numPr>
        <w:jc w:val="both"/>
        <w:spacing w:after="0" w:afterAutospacing="0" w:line="240" w:lineRule="auto"/>
        <w:rPr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Х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арактеризация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волоконных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брэгговских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реш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ё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ток в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многомодовых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волокнах.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6"/>
        </w:numPr>
        <w:jc w:val="both"/>
        <w:spacing w:after="0" w:afterAutospacing="0" w:line="240" w:lineRule="auto"/>
        <w:rPr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Исследование характеристик волоконно-оптических сенсоров новых типов.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26"/>
        </w:num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Измерение постоянной Верде оптических волокон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u w:val="single"/>
          <w:lang w:val="ru-RU"/>
        </w:rPr>
      </w:r>
      <w:r>
        <w:rPr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Д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ипломн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ые работы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Ультракороткий лазер с распределенной обратной связью на основе   высоколегированного эрбиевого световода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0"/>
        <w:numPr>
          <w:ilvl w:val="0"/>
          <w:numId w:val="19"/>
        </w:num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Ультракороткий одночастотный лазер с распределенным брэгговским отражателем на основе  высоколегированного эрбиевого волоконного световода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Лаборатория оптических сенсорных систем (№18)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к.ф.-м.н.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Лобач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 Иван Александрович</w:t>
      </w:r>
      <w:r>
        <w:rPr>
          <w:rFonts w:ascii="Times New Roman" w:hAnsi="Times New Roman" w:cs="Times New Roman"/>
          <w:color w:val="7030a0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</w:r>
      <w:hyperlink r:id="rId19" w:tooltip="http://lobach@iae.nsk.su" w:history="1"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yellow"/>
            <w:u w:val="none"/>
            <w:lang w:val="ru-RU"/>
          </w:rPr>
          <w:t xml:space="preserve">lobach@iae.nsk.su</w:t>
        </w:r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yellow"/>
            <w:u w:val="none"/>
            <w:lang w:val="ru-RU"/>
          </w:rPr>
        </w:r>
        <w:r>
          <w:rPr>
            <w:rStyle w:val="838"/>
            <w:b/>
            <w:bCs/>
            <w:color w:val="7030a0"/>
            <w:sz w:val="24"/>
            <w:szCs w:val="24"/>
            <w:u w:val="single"/>
            <w:lang w:val="ru-RU"/>
          </w:rPr>
        </w:r>
      </w:hyperlink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ru-RU"/>
        </w:rPr>
      </w:r>
      <w:r>
        <w:rPr>
          <w:b/>
          <w:bCs/>
          <w:color w:val="7030a0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Курсовые работы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2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Усиление и поглощение света в оптических волокнах с различным легированием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Yb, Er, Tm, Ho)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2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Спектральные характеристики различных оптоволоконных элементов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разветвители, решетки и т.д.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2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Волоконно-оптические интерферометры.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2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оптико-электрических характеристик различных видов фотонных-интегральных схем.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2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Исследование пьзоэлементов оптическими методами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72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Дипломные работы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опроса волоконных сенсорных систем.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Тулиевый волоконный лазер с перестройкой длины волны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Гольмиевый волоконный лазер с перестройкой длины волны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Распредел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ё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нный сенсор на основе частотного рефлектометра.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Лазерная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виброметрия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дальнометрия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3"/>
        </w:num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Спектроскопия газов с помощью перестраиваемых волоконных лазеров двухмикронного спектрального диапазона..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Лаборатория терагерцовой фотоники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</w:r>
      <w:r>
        <w:rPr>
          <w:u w:val="none"/>
          <w:lang w:val="ru-RU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highlight w:val="yellow"/>
          <w:u w:val="none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Контактное лицо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: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eastAsia="Arial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к.т.н.</w:t>
      </w:r>
      <w:r>
        <w:rPr>
          <w:rFonts w:ascii="Times New Roman" w:hAnsi="Times New Roman" w:eastAsia="Arial" w:cs="Times New Roman"/>
          <w:b/>
          <w:color w:val="auto"/>
          <w:sz w:val="24"/>
          <w:szCs w:val="24"/>
          <w:highlight w:val="yellow"/>
          <w:u w:val="none"/>
          <w:lang w:val="ru-RU"/>
        </w:rPr>
        <w:t xml:space="preserve"> Николаев Назар Александрович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highlight w:val="yellow"/>
          <w:u w:val="none"/>
          <w:lang w:val="ru-RU"/>
        </w:rPr>
      </w:r>
      <w:hyperlink r:id="rId20" w:tooltip="http://nazar@iae.nsk.su" w:history="1">
        <w:r>
          <w:rPr>
            <w:rStyle w:val="838"/>
            <w:rFonts w:ascii="Times New Roman" w:hAnsi="Times New Roman" w:cs="Times New Roman"/>
            <w:b/>
            <w:color w:val="7030a0"/>
            <w:sz w:val="24"/>
            <w:szCs w:val="24"/>
            <w:highlight w:val="yellow"/>
            <w:u w:val="none"/>
            <w:lang w:val="ru-RU"/>
          </w:rPr>
          <w:t xml:space="preserve">nazar@iae.nsk.su</w:t>
        </w:r>
        <w:r>
          <w:rPr>
            <w:rStyle w:val="838"/>
            <w:rFonts w:ascii="Times New Roman" w:hAnsi="Times New Roman" w:cs="Times New Roman"/>
            <w:b/>
            <w:color w:val="7030a0"/>
            <w:sz w:val="24"/>
            <w:szCs w:val="24"/>
            <w:highlight w:val="yellow"/>
            <w:u w:val="single"/>
            <w:lang w:val="ru-RU"/>
          </w:rPr>
        </w:r>
      </w:hyperlink>
      <w:r>
        <w:rPr>
          <w:rFonts w:ascii="Times New Roman" w:hAnsi="Times New Roman" w:cs="Times New Roman"/>
          <w:b/>
          <w:color w:val="7030a0"/>
          <w:sz w:val="24"/>
          <w:szCs w:val="24"/>
          <w:highlight w:val="yellow"/>
          <w:u w:val="none"/>
          <w:lang w:val="ru-RU"/>
        </w:rPr>
        <w:t xml:space="preserve"> </w:t>
      </w:r>
      <w:r>
        <w:rPr>
          <w:rFonts w:ascii="Times New Roman" w:hAnsi="Times New Roman" w:cs="Times New Roman"/>
          <w:color w:val="7030a0"/>
          <w:sz w:val="24"/>
          <w:szCs w:val="24"/>
          <w:u w:val="none"/>
          <w:lang w:val="ru-RU"/>
        </w:rPr>
      </w:r>
      <w:r>
        <w:rPr>
          <w:color w:val="7030a0"/>
          <w:u w:val="none"/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Дипломные работы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860"/>
        <w:numPr>
          <w:ilvl w:val="0"/>
          <w:numId w:val="15"/>
        </w:numPr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Исследование диэлектрических свойств конденсированных сред методами импульсной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терагерцовой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спектроскопии.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ourier New" w:cs="Times New Roman"/>
          <w:b/>
          <w:bCs/>
          <w:sz w:val="24"/>
          <w:szCs w:val="24"/>
          <w:highlight w:val="cyan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По вопросам выполнения курсовых и дипломных работ, прохождения практики можно обращаться к председателю Совета Молодых Ученых ИАиЭ СО РАН Лобачу Ивану Александровичу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highlight w:val="cyan"/>
          <w:u w:val="none"/>
          <w:lang w:val="ru-RU"/>
        </w:rPr>
      </w:r>
      <w:hyperlink r:id="rId21" w:tooltip="http://lobach@iae.nsk.su" w:history="1"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cyan"/>
            <w:u w:val="none"/>
            <w:lang w:val="ru-RU"/>
          </w:rPr>
          <w:t xml:space="preserve">lobach@iae.nsk.su</w:t>
        </w:r>
        <w:r>
          <w:rPr>
            <w:rStyle w:val="838"/>
            <w:rFonts w:ascii="Times New Roman" w:hAnsi="Times New Roman" w:cs="Times New Roman"/>
            <w:b/>
            <w:bCs/>
            <w:color w:val="7030a0"/>
            <w:sz w:val="24"/>
            <w:szCs w:val="24"/>
            <w:highlight w:val="cyan"/>
            <w:u w:val="none"/>
            <w:lang w:val="ru-RU"/>
          </w:rPr>
        </w:r>
        <w:r>
          <w:rPr>
            <w:rStyle w:val="838"/>
            <w:b/>
            <w:bCs/>
            <w:color w:val="7030a0"/>
            <w:sz w:val="24"/>
            <w:szCs w:val="24"/>
            <w:highlight w:val="cyan"/>
            <w:u w:val="single"/>
            <w:lang w:val="ru-RU"/>
          </w:rPr>
        </w:r>
      </w:hyperlink>
      <w:r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. </w:t>
      </w:r>
      <w:r>
        <w:rPr>
          <w:b/>
          <w:bCs/>
          <w:highlight w:val="cy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character" w:styleId="862" w:customStyle="1">
    <w:name w:val="docdata"/>
  </w:style>
  <w:style w:type="paragraph" w:styleId="863" w:customStyle="1">
    <w:name w:val="8f4506aa708e2a26msolist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kerinsl@iae.sbras.ru" TargetMode="External"/><Relationship Id="rId10" Type="http://schemas.openxmlformats.org/officeDocument/2006/relationships/hyperlink" Target="http://andnsk@iae.nsk.su" TargetMode="External"/><Relationship Id="rId11" Type="http://schemas.openxmlformats.org/officeDocument/2006/relationships/hyperlink" Target="mailto:snv@iae.nsk.su" TargetMode="External"/><Relationship Id="rId12" Type="http://schemas.openxmlformats.org/officeDocument/2006/relationships/hyperlink" Target="mailto:victork@iae.nsk.su" TargetMode="External"/><Relationship Id="rId13" Type="http://schemas.openxmlformats.org/officeDocument/2006/relationships/hyperlink" Target="mailto:sedukhin@iae.nsk.su" TargetMode="External"/><Relationship Id="rId14" Type="http://schemas.openxmlformats.org/officeDocument/2006/relationships/hyperlink" Target="mailto:bessmelt@iae.nsk.su" TargetMode="External"/><Relationship Id="rId15" Type="http://schemas.openxmlformats.org/officeDocument/2006/relationships/hyperlink" Target="mailto:alexandr@idisys.iae.nsk.su" TargetMode="External"/><Relationship Id="rId16" Type="http://schemas.openxmlformats.org/officeDocument/2006/relationships/hyperlink" Target="mailto:bsd@iae.nsk.su" TargetMode="External"/><Relationship Id="rId17" Type="http://schemas.openxmlformats.org/officeDocument/2006/relationships/hyperlink" Target="mailto:boris@iae.nsk.su" TargetMode="External"/><Relationship Id="rId18" Type="http://schemas.openxmlformats.org/officeDocument/2006/relationships/hyperlink" Target="http://babin@aie.nsk.su" TargetMode="External"/><Relationship Id="rId19" Type="http://schemas.openxmlformats.org/officeDocument/2006/relationships/hyperlink" Target="http://lobach@iae.nsk.su" TargetMode="External"/><Relationship Id="rId20" Type="http://schemas.openxmlformats.org/officeDocument/2006/relationships/hyperlink" Target="http://nazar@iae.nsk.su" TargetMode="External"/><Relationship Id="rId21" Type="http://schemas.openxmlformats.org/officeDocument/2006/relationships/hyperlink" Target="http://lobach@iae.ns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2023-09-22T02:15:16Z</dcterms:modified>
</cp:coreProperties>
</file>